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F4B" w:rsidRPr="00505F4B" w:rsidRDefault="00505F4B" w:rsidP="00505F4B">
      <w:pPr>
        <w:spacing w:line="360" w:lineRule="auto"/>
        <w:ind w:firstLine="709"/>
        <w:jc w:val="center"/>
        <w:rPr>
          <w:rFonts w:asciiTheme="majorBidi" w:hAnsiTheme="majorBidi" w:cstheme="majorBidi"/>
          <w:b/>
          <w:bCs/>
          <w:color w:val="001A34"/>
          <w:sz w:val="24"/>
          <w:szCs w:val="24"/>
          <w:shd w:val="clear" w:color="auto" w:fill="FFFFFF"/>
        </w:rPr>
      </w:pPr>
      <w:r w:rsidRPr="00505F4B">
        <w:rPr>
          <w:rFonts w:asciiTheme="majorBidi" w:hAnsiTheme="majorBidi" w:cstheme="majorBidi"/>
          <w:b/>
          <w:bCs/>
          <w:color w:val="001A34"/>
          <w:sz w:val="24"/>
          <w:szCs w:val="24"/>
          <w:shd w:val="clear" w:color="auto" w:fill="FFFFFF"/>
        </w:rPr>
        <w:t xml:space="preserve">Инструкция по применению </w:t>
      </w:r>
      <w:r w:rsidR="00121D64">
        <w:rPr>
          <w:rFonts w:asciiTheme="majorBidi" w:hAnsiTheme="majorBidi" w:cstheme="majorBidi"/>
          <w:b/>
          <w:bCs/>
          <w:color w:val="001A34"/>
          <w:sz w:val="24"/>
          <w:szCs w:val="24"/>
          <w:shd w:val="clear" w:color="auto" w:fill="FFFFFF"/>
        </w:rPr>
        <w:t xml:space="preserve">реагентов серии </w:t>
      </w:r>
      <w:r w:rsidR="006B4862">
        <w:rPr>
          <w:rFonts w:asciiTheme="majorBidi" w:hAnsiTheme="majorBidi" w:cstheme="majorBidi"/>
          <w:b/>
          <w:bCs/>
          <w:sz w:val="24"/>
          <w:szCs w:val="24"/>
        </w:rPr>
        <w:t>«</w:t>
      </w:r>
      <w:r w:rsidR="006B4862">
        <w:rPr>
          <w:rFonts w:asciiTheme="majorBidi" w:hAnsiTheme="majorBidi" w:cstheme="majorBidi"/>
          <w:b/>
          <w:bCs/>
          <w:sz w:val="24"/>
          <w:szCs w:val="24"/>
          <w:lang w:val="en-US"/>
        </w:rPr>
        <w:t>REKON</w:t>
      </w:r>
      <w:r w:rsidR="006B4862" w:rsidRPr="006B486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B4862">
        <w:rPr>
          <w:rFonts w:asciiTheme="majorBidi" w:hAnsiTheme="majorBidi" w:cstheme="majorBidi"/>
          <w:b/>
          <w:bCs/>
          <w:sz w:val="24"/>
          <w:szCs w:val="24"/>
          <w:lang w:val="en-US"/>
        </w:rPr>
        <w:t>WT</w:t>
      </w:r>
      <w:r w:rsidR="006B4862" w:rsidRPr="006B4862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6B4862">
        <w:rPr>
          <w:rFonts w:asciiTheme="majorBidi" w:hAnsiTheme="majorBidi" w:cstheme="majorBidi"/>
          <w:b/>
          <w:bCs/>
          <w:sz w:val="24"/>
          <w:szCs w:val="24"/>
          <w:lang w:val="en-US"/>
        </w:rPr>
        <w:t>B</w:t>
      </w:r>
      <w:r w:rsidRPr="00505F4B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6B4862" w:rsidRPr="006B4862" w:rsidRDefault="006B4862" w:rsidP="006B4862">
      <w:pPr>
        <w:spacing w:line="360" w:lineRule="auto"/>
        <w:ind w:firstLine="709"/>
        <w:jc w:val="both"/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</w:pPr>
      <w:r w:rsidRPr="006B4862"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  <w:t>Концентрированное средство пролонгированного действия.  Применяется для дезинфекции и обеззараживания стоков</w:t>
      </w:r>
      <w:r w:rsidR="00B06F9B"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  <w:t xml:space="preserve"> и труб</w:t>
      </w:r>
      <w:bookmarkStart w:id="0" w:name="_GoBack"/>
      <w:bookmarkEnd w:id="0"/>
      <w:r w:rsidRPr="006B4862"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  <w:t>, а также поверхностей в помещениях, оборудования. Эффективно уничтожает и предотвращает биообрастания, помогает убрать запахи.</w:t>
      </w:r>
    </w:p>
    <w:p w:rsidR="006B4862" w:rsidRPr="006B4862" w:rsidRDefault="006B4862" w:rsidP="006B4862">
      <w:pPr>
        <w:spacing w:line="360" w:lineRule="auto"/>
        <w:ind w:firstLine="709"/>
        <w:jc w:val="both"/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</w:pPr>
      <w:r w:rsidRPr="006B4862"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  <w:t xml:space="preserve">СОСТАВ: варьируемый </w:t>
      </w:r>
      <w:r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  <w:lang w:bidi="he-IL"/>
        </w:rPr>
        <w:t>линейка</w:t>
      </w:r>
      <w:r w:rsidRPr="006B4862"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  <w:t xml:space="preserve"> 9</w:t>
      </w:r>
      <w:r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  <w:lang w:val="en-US"/>
        </w:rPr>
        <w:t>XXXX</w:t>
      </w:r>
    </w:p>
    <w:p w:rsidR="006B4862" w:rsidRPr="006B4862" w:rsidRDefault="006B4862" w:rsidP="006B4862">
      <w:pPr>
        <w:spacing w:line="360" w:lineRule="auto"/>
        <w:ind w:firstLine="709"/>
        <w:jc w:val="both"/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</w:pPr>
      <w:r w:rsidRPr="006B4862"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  <w:t>ТУ 20.59.59-006-90798496-2025</w:t>
      </w:r>
    </w:p>
    <w:p w:rsidR="006B4862" w:rsidRPr="006B4862" w:rsidRDefault="006B4862" w:rsidP="006B4862">
      <w:pPr>
        <w:spacing w:line="360" w:lineRule="auto"/>
        <w:ind w:firstLine="709"/>
        <w:jc w:val="both"/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</w:pPr>
      <w:r w:rsidRPr="006B4862"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  <w:t xml:space="preserve">СПОСОБ ПРИМЕНЕНИЯ: </w:t>
      </w:r>
    </w:p>
    <w:p w:rsidR="00505F4B" w:rsidRDefault="00505F4B" w:rsidP="00505F4B">
      <w:pPr>
        <w:spacing w:line="360" w:lineRule="auto"/>
        <w:ind w:firstLine="709"/>
        <w:jc w:val="both"/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  <w:t>Инструкция по применению для накопительных емкостей: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980"/>
        <w:gridCol w:w="1559"/>
        <w:gridCol w:w="1559"/>
        <w:gridCol w:w="3119"/>
        <w:gridCol w:w="2410"/>
      </w:tblGrid>
      <w:tr w:rsidR="00E73172" w:rsidTr="00E73172">
        <w:tc>
          <w:tcPr>
            <w:tcW w:w="1980" w:type="dxa"/>
            <w:vAlign w:val="center"/>
          </w:tcPr>
          <w:p w:rsidR="00E73172" w:rsidRDefault="00E73172" w:rsidP="006B4862">
            <w:pPr>
              <w:jc w:val="center"/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Вид обработки</w:t>
            </w:r>
          </w:p>
        </w:tc>
        <w:tc>
          <w:tcPr>
            <w:tcW w:w="1559" w:type="dxa"/>
            <w:vAlign w:val="center"/>
          </w:tcPr>
          <w:p w:rsidR="00E73172" w:rsidRDefault="00E73172" w:rsidP="006B4862">
            <w:pPr>
              <w:jc w:val="center"/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</w:pPr>
            <w:proofErr w:type="spellStart"/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Дозация</w:t>
            </w:r>
            <w:proofErr w:type="spellEnd"/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  <w:t>:</w:t>
            </w:r>
          </w:p>
          <w:p w:rsidR="00E73172" w:rsidRDefault="00E73172" w:rsidP="006B4862">
            <w:pPr>
              <w:jc w:val="center"/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  <w:t>95000</w:t>
            </w:r>
          </w:p>
          <w:p w:rsidR="00E73172" w:rsidRDefault="00E73172" w:rsidP="006B4862">
            <w:pPr>
              <w:jc w:val="center"/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  <w:t>90050</w:t>
            </w:r>
          </w:p>
          <w:p w:rsidR="00E73172" w:rsidRPr="00E73172" w:rsidRDefault="00E73172" w:rsidP="006B4862">
            <w:pPr>
              <w:jc w:val="center"/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  <w:t>92525</w:t>
            </w:r>
          </w:p>
        </w:tc>
        <w:tc>
          <w:tcPr>
            <w:tcW w:w="1559" w:type="dxa"/>
          </w:tcPr>
          <w:p w:rsidR="00E73172" w:rsidRDefault="00E73172" w:rsidP="006B4862">
            <w:pPr>
              <w:jc w:val="center"/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Дозация</w:t>
            </w:r>
            <w:proofErr w:type="spellEnd"/>
          </w:p>
          <w:p w:rsidR="00E73172" w:rsidRDefault="00E73172" w:rsidP="00E73172">
            <w:pPr>
              <w:jc w:val="center"/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  <w:t>92500</w:t>
            </w:r>
          </w:p>
          <w:p w:rsidR="00E73172" w:rsidRDefault="00E73172" w:rsidP="00E73172">
            <w:pPr>
              <w:jc w:val="center"/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  <w:t>90025</w:t>
            </w:r>
          </w:p>
          <w:p w:rsidR="00E73172" w:rsidRDefault="00E73172" w:rsidP="00E73172">
            <w:pPr>
              <w:jc w:val="center"/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bidi="he-IL"/>
              </w:rPr>
              <w:t>91212</w:t>
            </w:r>
          </w:p>
        </w:tc>
        <w:tc>
          <w:tcPr>
            <w:tcW w:w="3119" w:type="dxa"/>
            <w:vAlign w:val="center"/>
          </w:tcPr>
          <w:p w:rsidR="00E73172" w:rsidRDefault="00E73172" w:rsidP="006B4862">
            <w:pPr>
              <w:jc w:val="center"/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Условия</w:t>
            </w:r>
          </w:p>
        </w:tc>
        <w:tc>
          <w:tcPr>
            <w:tcW w:w="2410" w:type="dxa"/>
            <w:vAlign w:val="center"/>
          </w:tcPr>
          <w:p w:rsidR="00E73172" w:rsidRDefault="00E73172" w:rsidP="006B4862">
            <w:pPr>
              <w:jc w:val="center"/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Способ приготовления раствора</w:t>
            </w:r>
          </w:p>
        </w:tc>
      </w:tr>
      <w:tr w:rsidR="00E73172" w:rsidTr="00E73172">
        <w:tc>
          <w:tcPr>
            <w:tcW w:w="1980" w:type="dxa"/>
          </w:tcPr>
          <w:p w:rsidR="00E73172" w:rsidRDefault="00E73172" w:rsidP="00AF3622">
            <w:pP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Шоковая (первичная или при сильном загрязнении) раз в 7 дней</w:t>
            </w:r>
          </w:p>
        </w:tc>
        <w:tc>
          <w:tcPr>
            <w:tcW w:w="1559" w:type="dxa"/>
          </w:tcPr>
          <w:p w:rsidR="00E73172" w:rsidRPr="00505F4B" w:rsidRDefault="00E73172" w:rsidP="00AF3622">
            <w:pP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Из расчета </w:t>
            </w:r>
            <w:r w:rsidRPr="006B4862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100 мл на 1 м3 сточных вод</w:t>
            </w: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559" w:type="dxa"/>
          </w:tcPr>
          <w:p w:rsidR="00E73172" w:rsidRDefault="000E1CAD" w:rsidP="00AF3622">
            <w:pP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Из расчета </w:t>
            </w:r>
            <w:r w:rsidRPr="000E1CAD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140</w:t>
            </w:r>
            <w:r w:rsidRPr="006B4862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 мл на 1 м3 сточных вод</w:t>
            </w: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9" w:type="dxa"/>
          </w:tcPr>
          <w:p w:rsidR="00E73172" w:rsidRDefault="00E73172" w:rsidP="000E1CAD">
            <w:pP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Дозацию</w:t>
            </w:r>
            <w:proofErr w:type="spellEnd"/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 производят в трубы, предшествующие накопителю. Наполнение накопителя при обработке не должно содержать более 70%.</w:t>
            </w:r>
            <w:r w:rsidR="000E1CAD" w:rsidRPr="000E1CAD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После дозации реагента выждать 10-15 минут и промыть горячей проточной водой 3-5 мин</w:t>
            </w:r>
          </w:p>
        </w:tc>
        <w:tc>
          <w:tcPr>
            <w:tcW w:w="2410" w:type="dxa"/>
            <w:vMerge w:val="restart"/>
          </w:tcPr>
          <w:p w:rsidR="00E73172" w:rsidRPr="006B4862" w:rsidRDefault="00E73172" w:rsidP="006B4862">
            <w:pP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r w:rsidRPr="006B4862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Внимание! Перед внесением препарата следует развести 50мл «REKON</w:t>
            </w:r>
            <w:r w:rsidRPr="00E73172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val="en-US"/>
              </w:rPr>
              <w:t>WT</w:t>
            </w:r>
            <w:r w:rsidRPr="00E73172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6B4862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» в 1 литре воды и тщательно перемешать. Внести готовый раствор в место подачи сточной воды или в накопитель, согласно рекомендациям:</w:t>
            </w:r>
          </w:p>
          <w:p w:rsidR="00E73172" w:rsidRDefault="00E73172" w:rsidP="00AF3622">
            <w:pP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</w:p>
        </w:tc>
      </w:tr>
      <w:tr w:rsidR="00E73172" w:rsidTr="00E73172">
        <w:tc>
          <w:tcPr>
            <w:tcW w:w="1980" w:type="dxa"/>
          </w:tcPr>
          <w:p w:rsidR="00E73172" w:rsidRDefault="00E73172" w:rsidP="00AF3622">
            <w:pP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Регулярная, </w:t>
            </w:r>
            <w:r w:rsidRPr="006B4862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раз в 2 дня</w:t>
            </w:r>
          </w:p>
        </w:tc>
        <w:tc>
          <w:tcPr>
            <w:tcW w:w="1559" w:type="dxa"/>
          </w:tcPr>
          <w:p w:rsidR="00E73172" w:rsidRPr="00505F4B" w:rsidRDefault="00E73172" w:rsidP="006B4862">
            <w:pP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Из расчета </w:t>
            </w:r>
            <w:r w:rsidRPr="006B4862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20 мл на 1 м3 сточных вод.</w:t>
            </w: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E73172" w:rsidRDefault="000E1CAD" w:rsidP="00AF3622">
            <w:pP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Из расчета </w:t>
            </w:r>
            <w:r w:rsidRPr="000E1CAD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35</w:t>
            </w:r>
            <w:r w:rsidRPr="006B4862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 мл на 1 м3 сточных вод</w:t>
            </w:r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9" w:type="dxa"/>
          </w:tcPr>
          <w:p w:rsidR="00E73172" w:rsidRDefault="00E73172" w:rsidP="000E1CAD">
            <w:pP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Дозацию</w:t>
            </w:r>
            <w:proofErr w:type="spellEnd"/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 производят в трубы, предшествующие накопителю и непосредственно в накопитель. Наполнение накопителя при обработке не должно содержать более 95%.</w:t>
            </w:r>
            <w:r w:rsidR="000E1CAD" w:rsidRPr="000E1CAD"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>Дозацию</w:t>
            </w:r>
            <w:proofErr w:type="spellEnd"/>
            <w: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  <w:t xml:space="preserve"> равномерная по мере накопления емкости, ежедневная.</w:t>
            </w:r>
          </w:p>
        </w:tc>
        <w:tc>
          <w:tcPr>
            <w:tcW w:w="2410" w:type="dxa"/>
            <w:vMerge/>
          </w:tcPr>
          <w:p w:rsidR="00E73172" w:rsidRDefault="00E73172" w:rsidP="00AF3622">
            <w:pPr>
              <w:rPr>
                <w:rFonts w:asciiTheme="majorBidi" w:hAnsiTheme="majorBidi" w:cstheme="majorBidi"/>
                <w:color w:val="001A34"/>
                <w:sz w:val="24"/>
                <w:szCs w:val="24"/>
                <w:shd w:val="clear" w:color="auto" w:fill="FFFFFF"/>
              </w:rPr>
            </w:pPr>
          </w:p>
        </w:tc>
      </w:tr>
    </w:tbl>
    <w:p w:rsidR="006B4862" w:rsidRDefault="006B4862" w:rsidP="006B4862">
      <w:pPr>
        <w:spacing w:line="360" w:lineRule="auto"/>
        <w:ind w:firstLine="709"/>
        <w:jc w:val="both"/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</w:pPr>
    </w:p>
    <w:p w:rsidR="006B4862" w:rsidRDefault="006B4862" w:rsidP="006B4862">
      <w:pPr>
        <w:spacing w:line="360" w:lineRule="auto"/>
        <w:ind w:firstLine="709"/>
        <w:jc w:val="both"/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</w:pPr>
      <w:r w:rsidRPr="006B4862"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  <w:t>ИЗГОТОВИТЕЛЬ: ООО «РЕКОН СПб», Санкт-Петербург, ул. Бабушкина д. 36, к.1, лит. А</w:t>
      </w:r>
    </w:p>
    <w:p w:rsidR="00505F4B" w:rsidRDefault="00505F4B" w:rsidP="00505F4B">
      <w:pPr>
        <w:spacing w:line="360" w:lineRule="auto"/>
        <w:ind w:firstLine="709"/>
        <w:rPr>
          <w:rFonts w:asciiTheme="majorBidi" w:hAnsiTheme="majorBidi" w:cstheme="majorBidi"/>
          <w:color w:val="001A34"/>
          <w:sz w:val="24"/>
          <w:szCs w:val="24"/>
          <w:shd w:val="clear" w:color="auto" w:fill="FFFFFF"/>
        </w:rPr>
      </w:pPr>
    </w:p>
    <w:p w:rsidR="00505F4B" w:rsidRPr="00505F4B" w:rsidRDefault="00505F4B" w:rsidP="00505F4B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sectPr w:rsidR="00505F4B" w:rsidRPr="00505F4B" w:rsidSect="006210A8">
      <w:type w:val="continuous"/>
      <w:pgSz w:w="11906" w:h="16838"/>
      <w:pgMar w:top="567" w:right="1134" w:bottom="1276" w:left="1134" w:header="709" w:footer="2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4B"/>
    <w:rsid w:val="00060783"/>
    <w:rsid w:val="000E1CAD"/>
    <w:rsid w:val="00121D64"/>
    <w:rsid w:val="003C1818"/>
    <w:rsid w:val="00505F4B"/>
    <w:rsid w:val="006210A8"/>
    <w:rsid w:val="006B4862"/>
    <w:rsid w:val="00821F84"/>
    <w:rsid w:val="00AF3622"/>
    <w:rsid w:val="00B06F9B"/>
    <w:rsid w:val="00C71A37"/>
    <w:rsid w:val="00E7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4292"/>
  <w15:chartTrackingRefBased/>
  <w15:docId w15:val="{6D6CDD86-D131-4B17-AF14-B7A8238D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Фальков</cp:lastModifiedBy>
  <cp:revision>6</cp:revision>
  <dcterms:created xsi:type="dcterms:W3CDTF">2025-12-25T09:03:00Z</dcterms:created>
  <dcterms:modified xsi:type="dcterms:W3CDTF">2025-12-26T10:36:00Z</dcterms:modified>
</cp:coreProperties>
</file>